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78"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8109"/>
        <w:gridCol w:w="712"/>
        <w:gridCol w:w="3229"/>
      </w:tblGrid>
      <w:tr w:rsidR="00553EA1" w:rsidRPr="008B466C" w14:paraId="1EC4882F" w14:textId="77777777" w:rsidTr="00553EA1">
        <w:trPr>
          <w:trHeight w:val="450"/>
        </w:trPr>
        <w:tc>
          <w:tcPr>
            <w:tcW w:w="750" w:type="pct"/>
            <w:tcBorders>
              <w:bottom w:val="single" w:sz="4" w:space="0" w:color="auto"/>
            </w:tcBorders>
            <w:tcMar>
              <w:left w:w="0" w:type="dxa"/>
              <w:right w:w="0" w:type="dxa"/>
            </w:tcMar>
            <w:vAlign w:val="center"/>
          </w:tcPr>
          <w:p w14:paraId="729DC598" w14:textId="77777777" w:rsidR="00553EA1" w:rsidRPr="00FB42F6" w:rsidRDefault="00553EA1" w:rsidP="00AE57D1">
            <w:pPr>
              <w:rPr>
                <w:rFonts w:cstheme="minorHAnsi"/>
                <w:b/>
                <w:bCs/>
              </w:rPr>
            </w:pPr>
            <w:bookmarkStart w:id="0" w:name="_GoBack"/>
            <w:bookmarkEnd w:id="0"/>
            <w:r w:rsidRPr="00FB42F6">
              <w:rPr>
                <w:rFonts w:cstheme="minorHAnsi"/>
                <w:b/>
                <w:bCs/>
              </w:rPr>
              <w:t>Business name:</w:t>
            </w:r>
          </w:p>
        </w:tc>
        <w:tc>
          <w:tcPr>
            <w:tcW w:w="4250" w:type="pct"/>
            <w:gridSpan w:val="3"/>
            <w:tcBorders>
              <w:bottom w:val="single" w:sz="4" w:space="0" w:color="auto"/>
            </w:tcBorders>
            <w:vAlign w:val="center"/>
          </w:tcPr>
          <w:p w14:paraId="16719742" w14:textId="77777777" w:rsidR="00553EA1" w:rsidRPr="00FB42F6" w:rsidRDefault="00553EA1" w:rsidP="00AE57D1">
            <w:pPr>
              <w:rPr>
                <w:rFonts w:cstheme="minorHAnsi"/>
                <w:b/>
                <w:bCs/>
              </w:rPr>
            </w:pPr>
          </w:p>
        </w:tc>
      </w:tr>
      <w:tr w:rsidR="00553EA1" w:rsidRPr="008B466C" w14:paraId="262D538A" w14:textId="77777777" w:rsidTr="002411F9">
        <w:trPr>
          <w:trHeight w:val="450"/>
        </w:trPr>
        <w:tc>
          <w:tcPr>
            <w:tcW w:w="750" w:type="pct"/>
            <w:tcBorders>
              <w:bottom w:val="single" w:sz="4" w:space="0" w:color="auto"/>
            </w:tcBorders>
            <w:tcMar>
              <w:left w:w="0" w:type="dxa"/>
              <w:right w:w="0" w:type="dxa"/>
            </w:tcMar>
            <w:vAlign w:val="center"/>
          </w:tcPr>
          <w:p w14:paraId="751783A5" w14:textId="7020308C" w:rsidR="00553EA1" w:rsidRPr="00FB42F6" w:rsidRDefault="00553EA1" w:rsidP="00553EA1">
            <w:pPr>
              <w:rPr>
                <w:rFonts w:cstheme="minorHAnsi"/>
                <w:b/>
                <w:bCs/>
              </w:rPr>
            </w:pPr>
            <w:r>
              <w:rPr>
                <w:rFonts w:cstheme="minorHAnsi"/>
                <w:b/>
                <w:bCs/>
              </w:rPr>
              <w:t xml:space="preserve">Completed by: </w:t>
            </w:r>
          </w:p>
        </w:tc>
        <w:tc>
          <w:tcPr>
            <w:tcW w:w="2860" w:type="pct"/>
            <w:tcBorders>
              <w:bottom w:val="single" w:sz="4" w:space="0" w:color="auto"/>
            </w:tcBorders>
            <w:vAlign w:val="center"/>
          </w:tcPr>
          <w:p w14:paraId="222241C9" w14:textId="77777777" w:rsidR="00553EA1" w:rsidRPr="00FB42F6" w:rsidRDefault="00553EA1" w:rsidP="00553EA1">
            <w:pPr>
              <w:rPr>
                <w:rFonts w:cstheme="minorHAnsi"/>
                <w:b/>
                <w:bCs/>
              </w:rPr>
            </w:pPr>
          </w:p>
        </w:tc>
        <w:tc>
          <w:tcPr>
            <w:tcW w:w="251" w:type="pct"/>
            <w:tcBorders>
              <w:bottom w:val="single" w:sz="4" w:space="0" w:color="auto"/>
            </w:tcBorders>
            <w:vAlign w:val="center"/>
          </w:tcPr>
          <w:p w14:paraId="174284C7" w14:textId="4D9A281F" w:rsidR="00553EA1" w:rsidRPr="00FB42F6" w:rsidRDefault="00553EA1" w:rsidP="00553EA1">
            <w:pPr>
              <w:rPr>
                <w:rFonts w:cstheme="minorHAnsi"/>
                <w:b/>
                <w:bCs/>
              </w:rPr>
            </w:pPr>
            <w:r w:rsidRPr="00FB42F6">
              <w:rPr>
                <w:rFonts w:cstheme="minorHAnsi"/>
                <w:b/>
                <w:bCs/>
              </w:rPr>
              <w:t>Date:</w:t>
            </w:r>
          </w:p>
        </w:tc>
        <w:tc>
          <w:tcPr>
            <w:tcW w:w="1139" w:type="pct"/>
            <w:tcBorders>
              <w:bottom w:val="single" w:sz="4" w:space="0" w:color="auto"/>
            </w:tcBorders>
            <w:vAlign w:val="center"/>
          </w:tcPr>
          <w:p w14:paraId="6DEC8814" w14:textId="77777777" w:rsidR="00553EA1" w:rsidRPr="00FB42F6" w:rsidRDefault="00553EA1" w:rsidP="00553EA1">
            <w:pPr>
              <w:rPr>
                <w:rFonts w:cstheme="minorHAnsi"/>
                <w:b/>
                <w:bCs/>
              </w:rPr>
            </w:pPr>
          </w:p>
        </w:tc>
      </w:tr>
      <w:tr w:rsidR="00553EA1" w:rsidRPr="008B1DE6" w14:paraId="5A3EACA0" w14:textId="77777777" w:rsidTr="002411F9">
        <w:trPr>
          <w:trHeight w:val="70"/>
        </w:trPr>
        <w:tc>
          <w:tcPr>
            <w:tcW w:w="750" w:type="pct"/>
            <w:tcBorders>
              <w:top w:val="single" w:sz="4" w:space="0" w:color="auto"/>
            </w:tcBorders>
            <w:tcMar>
              <w:left w:w="0" w:type="dxa"/>
              <w:right w:w="0" w:type="dxa"/>
            </w:tcMar>
            <w:vAlign w:val="bottom"/>
          </w:tcPr>
          <w:p w14:paraId="433EBE1A" w14:textId="77777777" w:rsidR="00553EA1" w:rsidRPr="008B1DE6" w:rsidRDefault="00553EA1" w:rsidP="00553EA1">
            <w:pPr>
              <w:rPr>
                <w:rFonts w:cstheme="minorHAnsi"/>
                <w:b/>
                <w:bCs/>
                <w:sz w:val="12"/>
                <w:szCs w:val="12"/>
              </w:rPr>
            </w:pPr>
          </w:p>
        </w:tc>
        <w:tc>
          <w:tcPr>
            <w:tcW w:w="2860" w:type="pct"/>
            <w:tcBorders>
              <w:top w:val="single" w:sz="4" w:space="0" w:color="auto"/>
            </w:tcBorders>
            <w:vAlign w:val="bottom"/>
          </w:tcPr>
          <w:p w14:paraId="590FCAAE" w14:textId="77777777" w:rsidR="00553EA1" w:rsidRPr="008B1DE6" w:rsidRDefault="00553EA1" w:rsidP="00553EA1">
            <w:pPr>
              <w:rPr>
                <w:rFonts w:cstheme="minorHAnsi"/>
                <w:b/>
                <w:bCs/>
                <w:sz w:val="12"/>
                <w:szCs w:val="12"/>
              </w:rPr>
            </w:pPr>
          </w:p>
        </w:tc>
        <w:tc>
          <w:tcPr>
            <w:tcW w:w="251" w:type="pct"/>
            <w:tcBorders>
              <w:top w:val="single" w:sz="4" w:space="0" w:color="auto"/>
            </w:tcBorders>
            <w:vAlign w:val="bottom"/>
          </w:tcPr>
          <w:p w14:paraId="4DDF49E1" w14:textId="77777777" w:rsidR="00553EA1" w:rsidRPr="008B1DE6" w:rsidRDefault="00553EA1" w:rsidP="00553EA1">
            <w:pPr>
              <w:rPr>
                <w:rFonts w:cstheme="minorHAnsi"/>
                <w:b/>
                <w:bCs/>
                <w:sz w:val="12"/>
                <w:szCs w:val="12"/>
              </w:rPr>
            </w:pPr>
          </w:p>
        </w:tc>
        <w:tc>
          <w:tcPr>
            <w:tcW w:w="1139" w:type="pct"/>
            <w:tcBorders>
              <w:top w:val="single" w:sz="4" w:space="0" w:color="auto"/>
            </w:tcBorders>
          </w:tcPr>
          <w:p w14:paraId="0A222052" w14:textId="77777777" w:rsidR="00553EA1" w:rsidRPr="008B1DE6" w:rsidRDefault="00553EA1" w:rsidP="00553EA1">
            <w:pPr>
              <w:rPr>
                <w:rFonts w:cstheme="minorHAnsi"/>
                <w:b/>
                <w:bCs/>
                <w:sz w:val="12"/>
                <w:szCs w:val="12"/>
              </w:rPr>
            </w:pPr>
          </w:p>
        </w:tc>
      </w:tr>
      <w:tr w:rsidR="00553EA1" w:rsidRPr="008B466C" w14:paraId="7F4C8C8A" w14:textId="77777777" w:rsidTr="008B1DE6">
        <w:trPr>
          <w:trHeight w:val="450"/>
        </w:trPr>
        <w:tc>
          <w:tcPr>
            <w:tcW w:w="5000" w:type="pct"/>
            <w:gridSpan w:val="4"/>
            <w:tcMar>
              <w:left w:w="0" w:type="dxa"/>
              <w:right w:w="0" w:type="dxa"/>
            </w:tcMar>
            <w:vAlign w:val="center"/>
          </w:tcPr>
          <w:p w14:paraId="5A661CDD" w14:textId="77777777" w:rsidR="00553EA1" w:rsidRDefault="00553EA1" w:rsidP="00780DC1">
            <w:pPr>
              <w:spacing w:before="120" w:after="120" w:line="259" w:lineRule="auto"/>
            </w:pPr>
            <w:r>
              <w:t>This template is intended to provide a framework for you to develop your own Nutrient Management Plan.</w:t>
            </w:r>
          </w:p>
          <w:p w14:paraId="1A6E3BF4" w14:textId="519FC426" w:rsidR="00553EA1" w:rsidRDefault="00553EA1" w:rsidP="00780DC1">
            <w:pPr>
              <w:spacing w:before="120" w:after="120" w:line="259" w:lineRule="auto"/>
            </w:pPr>
            <w:r>
              <w:t xml:space="preserve">Completing a Nutrient Management Plan is considered to be ‘best practice’ for all banana farms, however completion of a plan is </w:t>
            </w:r>
            <w:r w:rsidRPr="00AE57D1">
              <w:rPr>
                <w:b/>
                <w:bCs/>
              </w:rPr>
              <w:t>mandated</w:t>
            </w:r>
            <w:r>
              <w:t xml:space="preserve"> by legislation in Queensland, under </w:t>
            </w:r>
            <w:r w:rsidRPr="00553EA1">
              <w:rPr>
                <w:i/>
                <w:iCs/>
              </w:rPr>
              <w:t>Environmental Protection Act 1994</w:t>
            </w:r>
            <w:r>
              <w:rPr>
                <w:i/>
                <w:iCs/>
              </w:rPr>
              <w:t xml:space="preserve"> - </w:t>
            </w:r>
            <w:r w:rsidRPr="00553EA1">
              <w:rPr>
                <w:i/>
                <w:iCs/>
              </w:rPr>
              <w:t>Reef Protection Regulations</w:t>
            </w:r>
            <w:r>
              <w:t xml:space="preserve">. </w:t>
            </w:r>
          </w:p>
          <w:p w14:paraId="5F4B9A61" w14:textId="77777777" w:rsidR="00553EA1" w:rsidRDefault="00553EA1" w:rsidP="00780DC1">
            <w:pPr>
              <w:shd w:val="clear" w:color="auto" w:fill="D9D9D9" w:themeFill="background1" w:themeFillShade="D9"/>
            </w:pPr>
            <w:r>
              <w:t xml:space="preserve">If the rates of nitrogen and/or phosphorus application are higher than the thresholds (outlined in the table below) the nutrient plan must utilise the results of leaf testing.  </w:t>
            </w:r>
          </w:p>
          <w:p w14:paraId="726E7166" w14:textId="5C63A8FA" w:rsidR="00553EA1" w:rsidRDefault="00553EA1" w:rsidP="00780DC1">
            <w:pPr>
              <w:shd w:val="clear" w:color="auto" w:fill="D9D9D9" w:themeFill="background1" w:themeFillShade="D9"/>
              <w:jc w:val="center"/>
            </w:pPr>
            <w:r>
              <w:rPr>
                <w:noProof/>
                <w:lang w:val="en-US"/>
              </w:rPr>
              <w:drawing>
                <wp:inline distT="0" distB="0" distL="0" distR="0" wp14:anchorId="5858BCB0" wp14:editId="5DC15195">
                  <wp:extent cx="4358640" cy="8686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58640" cy="868680"/>
                          </a:xfrm>
                          <a:prstGeom prst="rect">
                            <a:avLst/>
                          </a:prstGeom>
                          <a:noFill/>
                          <a:ln>
                            <a:noFill/>
                          </a:ln>
                        </pic:spPr>
                      </pic:pic>
                    </a:graphicData>
                  </a:graphic>
                </wp:inline>
              </w:drawing>
            </w:r>
          </w:p>
          <w:p w14:paraId="54943450" w14:textId="77777777" w:rsidR="00553EA1" w:rsidRDefault="00553EA1" w:rsidP="00780DC1">
            <w:pPr>
              <w:spacing w:before="120" w:after="120" w:line="259" w:lineRule="auto"/>
            </w:pPr>
            <w:r>
              <w:t xml:space="preserve">You can use any format for the plan that you choose, or you are welcome to modify this document to suit your needs.  Records for the ‘plan’ may be combination of electronic and hard copy documents. </w:t>
            </w:r>
          </w:p>
          <w:p w14:paraId="54A7C29E" w14:textId="77777777" w:rsidR="00553EA1" w:rsidRDefault="00553EA1" w:rsidP="00780DC1">
            <w:pPr>
              <w:spacing w:before="120" w:after="120" w:line="259" w:lineRule="auto"/>
            </w:pPr>
            <w:r>
              <w:t xml:space="preserve">For example, hard copies could be kept in a ring binder and then new information added to the plan (e.g. yield) as it becomes available.  </w:t>
            </w:r>
          </w:p>
          <w:p w14:paraId="28C8AA8C" w14:textId="2C334906" w:rsidR="00553EA1" w:rsidRDefault="00553EA1" w:rsidP="00780DC1">
            <w:r>
              <w:t>If you would like assistance in completing this document, contact</w:t>
            </w:r>
            <w:r w:rsidR="00780DC1">
              <w:t xml:space="preserve"> Amelia Foster, </w:t>
            </w:r>
            <w:r w:rsidR="00F36B9D">
              <w:t xml:space="preserve">ABGC </w:t>
            </w:r>
            <w:r w:rsidR="00780DC1">
              <w:t xml:space="preserve">BMP Coordinator E: </w:t>
            </w:r>
            <w:hyperlink r:id="rId11" w:history="1">
              <w:r w:rsidR="00780DC1" w:rsidRPr="00691734">
                <w:rPr>
                  <w:rStyle w:val="Hyperlink"/>
                </w:rPr>
                <w:t>amelia@abgc.org.au</w:t>
              </w:r>
            </w:hyperlink>
          </w:p>
          <w:p w14:paraId="5D6B7AA2" w14:textId="77777777" w:rsidR="00553EA1" w:rsidRPr="00FB42F6" w:rsidRDefault="00553EA1" w:rsidP="00553EA1">
            <w:pPr>
              <w:rPr>
                <w:rFonts w:cstheme="minorHAnsi"/>
                <w:b/>
                <w:bCs/>
              </w:rPr>
            </w:pPr>
          </w:p>
        </w:tc>
      </w:tr>
    </w:tbl>
    <w:p w14:paraId="5782D69C" w14:textId="3F68AFF8" w:rsidR="00E81DDA" w:rsidRDefault="00E81DDA">
      <w:pPr>
        <w:rPr>
          <w:sz w:val="18"/>
          <w:szCs w:val="18"/>
        </w:rPr>
      </w:pPr>
    </w:p>
    <w:tbl>
      <w:tblPr>
        <w:tblStyle w:val="TableGrid"/>
        <w:tblW w:w="0" w:type="auto"/>
        <w:tblInd w:w="0" w:type="dxa"/>
        <w:tblLook w:val="04A0" w:firstRow="1" w:lastRow="0" w:firstColumn="1" w:lastColumn="0" w:noHBand="0" w:noVBand="1"/>
      </w:tblPr>
      <w:tblGrid>
        <w:gridCol w:w="13948"/>
      </w:tblGrid>
      <w:tr w:rsidR="001F6550" w14:paraId="18D4C2BB" w14:textId="77777777" w:rsidTr="001F6550">
        <w:tc>
          <w:tcPr>
            <w:tcW w:w="13948" w:type="dxa"/>
          </w:tcPr>
          <w:p w14:paraId="585B8A02" w14:textId="6A490CFA" w:rsidR="001F6550" w:rsidRPr="001F6550" w:rsidRDefault="001F6550">
            <w:pPr>
              <w:rPr>
                <w:b/>
                <w:bCs/>
              </w:rPr>
            </w:pPr>
            <w:r w:rsidRPr="001F6550">
              <w:rPr>
                <w:b/>
                <w:bCs/>
              </w:rPr>
              <w:t xml:space="preserve">Further Information: </w:t>
            </w:r>
          </w:p>
          <w:p w14:paraId="0CA44B0D" w14:textId="5E150C93" w:rsidR="001F6550" w:rsidRPr="00553EA1" w:rsidRDefault="001F6550" w:rsidP="001F6550">
            <w:pPr>
              <w:pStyle w:val="ListParagraph"/>
              <w:numPr>
                <w:ilvl w:val="0"/>
                <w:numId w:val="13"/>
              </w:numPr>
              <w:spacing w:before="120" w:after="120" w:line="259" w:lineRule="auto"/>
              <w:ind w:left="714" w:hanging="357"/>
              <w:rPr>
                <w:b/>
                <w:bCs/>
              </w:rPr>
            </w:pPr>
            <w:r w:rsidRPr="00553EA1">
              <w:rPr>
                <w:b/>
                <w:bCs/>
              </w:rPr>
              <w:t xml:space="preserve">Freshcare </w:t>
            </w:r>
            <w:r w:rsidR="00553EA1" w:rsidRPr="00553EA1">
              <w:rPr>
                <w:b/>
                <w:bCs/>
              </w:rPr>
              <w:t>F</w:t>
            </w:r>
            <w:r w:rsidRPr="00553EA1">
              <w:rPr>
                <w:b/>
                <w:bCs/>
              </w:rPr>
              <w:t>actsheet</w:t>
            </w:r>
            <w:r w:rsidR="00553EA1" w:rsidRPr="00553EA1">
              <w:rPr>
                <w:b/>
                <w:bCs/>
              </w:rPr>
              <w:t xml:space="preserve"> - </w:t>
            </w:r>
            <w:r w:rsidRPr="00553EA1">
              <w:rPr>
                <w:b/>
                <w:bCs/>
              </w:rPr>
              <w:t xml:space="preserve">E5 </w:t>
            </w:r>
            <w:r w:rsidR="00780DC1">
              <w:rPr>
                <w:b/>
                <w:bCs/>
              </w:rPr>
              <w:t xml:space="preserve">(insert) </w:t>
            </w:r>
            <w:r w:rsidR="00553EA1" w:rsidRPr="00553EA1">
              <w:rPr>
                <w:b/>
                <w:bCs/>
              </w:rPr>
              <w:t>Nutrient management</w:t>
            </w:r>
            <w:r w:rsidR="00780DC1">
              <w:rPr>
                <w:b/>
                <w:bCs/>
              </w:rPr>
              <w:t xml:space="preserve"> for banana cultivation</w:t>
            </w:r>
          </w:p>
          <w:p w14:paraId="3BF3AB29" w14:textId="77777777" w:rsidR="00780DC1" w:rsidRPr="00553EA1" w:rsidRDefault="00780DC1" w:rsidP="00780DC1">
            <w:pPr>
              <w:pStyle w:val="ListParagraph"/>
              <w:numPr>
                <w:ilvl w:val="0"/>
                <w:numId w:val="13"/>
              </w:numPr>
              <w:spacing w:before="120" w:after="120" w:line="259" w:lineRule="auto"/>
              <w:ind w:left="714" w:hanging="357"/>
              <w:rPr>
                <w:sz w:val="18"/>
                <w:szCs w:val="18"/>
              </w:rPr>
            </w:pPr>
            <w:r>
              <w:t xml:space="preserve">Refer to the Nutrient Management section within the Banana BMP </w:t>
            </w:r>
            <w:hyperlink r:id="rId12" w:history="1">
              <w:r w:rsidRPr="00C522C3">
                <w:rPr>
                  <w:rStyle w:val="Hyperlink"/>
                </w:rPr>
                <w:t>abgc.org.au/best-management-practice</w:t>
              </w:r>
            </w:hyperlink>
            <w:r>
              <w:t xml:space="preserve"> </w:t>
            </w:r>
          </w:p>
          <w:p w14:paraId="13266B0C" w14:textId="77777777" w:rsidR="00780DC1" w:rsidRDefault="00780DC1" w:rsidP="00780DC1">
            <w:pPr>
              <w:pStyle w:val="ListParagraph"/>
              <w:numPr>
                <w:ilvl w:val="0"/>
                <w:numId w:val="13"/>
              </w:numPr>
              <w:spacing w:before="120" w:after="120" w:line="259" w:lineRule="auto"/>
              <w:ind w:left="714" w:hanging="357"/>
            </w:pPr>
            <w:r>
              <w:t xml:space="preserve">Visit </w:t>
            </w:r>
            <w:hyperlink r:id="rId13" w:history="1">
              <w:r w:rsidRPr="00691734">
                <w:rPr>
                  <w:rStyle w:val="Hyperlink"/>
                </w:rPr>
                <w:t>www.qld.gov.au/environment/agriculture/sustainable-farming/reef/reef-regulations/producers/bananas</w:t>
              </w:r>
            </w:hyperlink>
          </w:p>
          <w:p w14:paraId="54C8D08A" w14:textId="45C40944" w:rsidR="001F6550" w:rsidRDefault="001F6550" w:rsidP="001F6550">
            <w:pPr>
              <w:pStyle w:val="ListParagraph"/>
              <w:numPr>
                <w:ilvl w:val="0"/>
                <w:numId w:val="13"/>
              </w:numPr>
              <w:spacing w:before="120" w:after="120" w:line="259" w:lineRule="auto"/>
              <w:ind w:left="714" w:hanging="357"/>
            </w:pPr>
            <w:r>
              <w:t xml:space="preserve">Contact </w:t>
            </w:r>
            <w:r w:rsidRPr="00553EA1">
              <w:t>ABGC</w:t>
            </w:r>
            <w:r>
              <w:t xml:space="preserve"> on +61 7 4015 2797 or </w:t>
            </w:r>
            <w:hyperlink r:id="rId14" w:history="1">
              <w:r w:rsidRPr="00C522C3">
                <w:rPr>
                  <w:rStyle w:val="Hyperlink"/>
                </w:rPr>
                <w:t>bmp@abgc.org.au</w:t>
              </w:r>
            </w:hyperlink>
          </w:p>
          <w:p w14:paraId="2D99CA72" w14:textId="77777777" w:rsidR="00780DC1" w:rsidRDefault="00780DC1" w:rsidP="001F6550">
            <w:pPr>
              <w:pStyle w:val="ListParagraph"/>
              <w:numPr>
                <w:ilvl w:val="0"/>
                <w:numId w:val="13"/>
              </w:numPr>
              <w:spacing w:before="120" w:after="120" w:line="259" w:lineRule="auto"/>
              <w:ind w:left="714" w:hanging="357"/>
            </w:pPr>
            <w:r>
              <w:t xml:space="preserve">Talk to your Freshcare Trainer </w:t>
            </w:r>
            <w:hyperlink r:id="rId15" w:history="1">
              <w:r w:rsidRPr="00691734">
                <w:rPr>
                  <w:rStyle w:val="Hyperlink"/>
                </w:rPr>
                <w:t>www.freshcare.com.au/training</w:t>
              </w:r>
            </w:hyperlink>
          </w:p>
          <w:p w14:paraId="2CF6F2FE" w14:textId="573B559D" w:rsidR="001F6550" w:rsidRPr="00780DC1" w:rsidRDefault="001F6550" w:rsidP="00780DC1">
            <w:pPr>
              <w:pStyle w:val="ListParagraph"/>
              <w:numPr>
                <w:ilvl w:val="0"/>
                <w:numId w:val="13"/>
              </w:numPr>
              <w:spacing w:before="120" w:after="120" w:line="259" w:lineRule="auto"/>
              <w:ind w:left="714" w:hanging="357"/>
            </w:pPr>
            <w:r>
              <w:t>Talk to your agronomist or reseller</w:t>
            </w:r>
          </w:p>
        </w:tc>
      </w:tr>
    </w:tbl>
    <w:p w14:paraId="2E33A505" w14:textId="77777777" w:rsidR="00E81DDA" w:rsidRDefault="00E81DDA">
      <w:pPr>
        <w:rPr>
          <w:sz w:val="18"/>
          <w:szCs w:val="18"/>
        </w:rPr>
      </w:pPr>
      <w:r>
        <w:rPr>
          <w:sz w:val="18"/>
          <w:szCs w:val="18"/>
        </w:rPr>
        <w:br w:type="page"/>
      </w:r>
    </w:p>
    <w:p w14:paraId="7911B4D1" w14:textId="03AB49CC" w:rsidR="002411F9" w:rsidRDefault="002411F9" w:rsidP="002411F9">
      <w:r w:rsidRPr="002411F9">
        <w:rPr>
          <w:b/>
          <w:bCs/>
        </w:rPr>
        <w:lastRenderedPageBreak/>
        <w:t>Step 1 – Complete Property map (Farm map)</w:t>
      </w:r>
      <w:r w:rsidR="00E81DDA">
        <w:t xml:space="preserve"> - </w:t>
      </w:r>
      <w:r>
        <w:t xml:space="preserve">Include all things listed in M1.2.1 and </w:t>
      </w:r>
      <w:r w:rsidR="008B1DE6">
        <w:t xml:space="preserve">additionally </w:t>
      </w:r>
      <w:r>
        <w:t xml:space="preserve">identify:   </w:t>
      </w:r>
    </w:p>
    <w:p w14:paraId="7CABAFF0" w14:textId="77777777" w:rsidR="002411F9" w:rsidRDefault="002411F9" w:rsidP="002411F9">
      <w:pPr>
        <w:pStyle w:val="ListParagraph"/>
        <w:numPr>
          <w:ilvl w:val="0"/>
          <w:numId w:val="10"/>
        </w:numPr>
      </w:pPr>
      <w:r>
        <w:t xml:space="preserve">block boundaries, </w:t>
      </w:r>
    </w:p>
    <w:p w14:paraId="761E7E2C" w14:textId="77777777" w:rsidR="002411F9" w:rsidRDefault="002411F9" w:rsidP="002411F9">
      <w:pPr>
        <w:pStyle w:val="ListParagraph"/>
        <w:numPr>
          <w:ilvl w:val="0"/>
          <w:numId w:val="10"/>
        </w:numPr>
      </w:pPr>
      <w:r>
        <w:t>block identifiers,</w:t>
      </w:r>
    </w:p>
    <w:p w14:paraId="19636FAC" w14:textId="38164F3C" w:rsidR="002411F9" w:rsidRDefault="002411F9" w:rsidP="002411F9">
      <w:pPr>
        <w:pStyle w:val="ListParagraph"/>
        <w:numPr>
          <w:ilvl w:val="0"/>
          <w:numId w:val="10"/>
        </w:numPr>
      </w:pPr>
      <w:r>
        <w:t>block area (ha),</w:t>
      </w:r>
    </w:p>
    <w:p w14:paraId="37297D80" w14:textId="593FDF7E" w:rsidR="002411F9" w:rsidRDefault="002411F9" w:rsidP="002411F9">
      <w:pPr>
        <w:pStyle w:val="ListParagraph"/>
        <w:numPr>
          <w:ilvl w:val="0"/>
          <w:numId w:val="10"/>
        </w:numPr>
      </w:pPr>
      <w:r>
        <w:t xml:space="preserve">leaf sampling locations.  </w:t>
      </w:r>
    </w:p>
    <w:tbl>
      <w:tblPr>
        <w:tblStyle w:val="TableGrid"/>
        <w:tblW w:w="5000" w:type="pct"/>
        <w:tblInd w:w="-5" w:type="dxa"/>
        <w:tblLook w:val="04A0" w:firstRow="1" w:lastRow="0" w:firstColumn="1" w:lastColumn="0" w:noHBand="0" w:noVBand="1"/>
      </w:tblPr>
      <w:tblGrid>
        <w:gridCol w:w="13948"/>
      </w:tblGrid>
      <w:tr w:rsidR="00E81DDA" w14:paraId="2388311D" w14:textId="77777777" w:rsidTr="00E81DDA">
        <w:trPr>
          <w:trHeight w:val="7245"/>
        </w:trPr>
        <w:tc>
          <w:tcPr>
            <w:tcW w:w="5000" w:type="pct"/>
          </w:tcPr>
          <w:p w14:paraId="73B28AEA" w14:textId="77777777" w:rsidR="00E81DDA" w:rsidRDefault="00E81DDA" w:rsidP="00E81DDA"/>
        </w:tc>
      </w:tr>
    </w:tbl>
    <w:p w14:paraId="7C12E675" w14:textId="77777777" w:rsidR="00E81DDA" w:rsidRDefault="00E81DDA">
      <w:pPr>
        <w:rPr>
          <w:b/>
          <w:bCs/>
        </w:rPr>
      </w:pPr>
      <w:r>
        <w:rPr>
          <w:b/>
          <w:bCs/>
        </w:rPr>
        <w:br w:type="page"/>
      </w:r>
    </w:p>
    <w:p w14:paraId="6BC2E70C" w14:textId="6F647615" w:rsidR="002411F9" w:rsidRPr="002411F9" w:rsidRDefault="002411F9" w:rsidP="002411F9">
      <w:pPr>
        <w:rPr>
          <w:b/>
          <w:bCs/>
        </w:rPr>
      </w:pPr>
      <w:r w:rsidRPr="002411F9">
        <w:rPr>
          <w:b/>
          <w:bCs/>
        </w:rPr>
        <w:t xml:space="preserve">Step 2 – Complete leaf and soil testing. </w:t>
      </w:r>
    </w:p>
    <w:p w14:paraId="260605F1" w14:textId="77777777" w:rsidR="002411F9" w:rsidRDefault="002411F9" w:rsidP="002411F9">
      <w:r>
        <w:t>Soil and leaf testing is recommended to ensure that you match your nutrients to the needs of your soil and crop.</w:t>
      </w:r>
    </w:p>
    <w:p w14:paraId="501EBBCD" w14:textId="77777777" w:rsidR="002411F9" w:rsidRDefault="002411F9" w:rsidP="00E81DDA">
      <w:pPr>
        <w:pStyle w:val="ListParagraph"/>
        <w:numPr>
          <w:ilvl w:val="0"/>
          <w:numId w:val="11"/>
        </w:numPr>
      </w:pPr>
      <w:r>
        <w:t>You must take leaf samples if your application rates for nitrogen and/or phosphorus exceed, or are expected to exceed, the threshold annual rates.</w:t>
      </w:r>
    </w:p>
    <w:p w14:paraId="46178BBA" w14:textId="77777777" w:rsidR="002411F9" w:rsidRDefault="002411F9" w:rsidP="00E81DDA">
      <w:pPr>
        <w:pStyle w:val="ListParagraph"/>
        <w:numPr>
          <w:ilvl w:val="0"/>
          <w:numId w:val="11"/>
        </w:numPr>
      </w:pPr>
      <w:r>
        <w:t>You can record the results of leaf and soil testing in any way you choose. These records can be in either hard copy or electronic format.</w:t>
      </w:r>
    </w:p>
    <w:p w14:paraId="105839C3" w14:textId="5A70CAA6" w:rsidR="002411F9" w:rsidRPr="00553EA1" w:rsidRDefault="002411F9" w:rsidP="002411F9">
      <w:pPr>
        <w:rPr>
          <w:i/>
          <w:iCs/>
        </w:rPr>
      </w:pPr>
      <w:r w:rsidRPr="00553EA1">
        <w:rPr>
          <w:i/>
          <w:iCs/>
        </w:rPr>
        <w:t xml:space="preserve">This page could be used as a divider page in your folder with paper records slotted in behind.  </w:t>
      </w:r>
    </w:p>
    <w:p w14:paraId="0344C167" w14:textId="740220E4" w:rsidR="0065759B" w:rsidRDefault="0065759B"/>
    <w:p w14:paraId="74538135" w14:textId="720C4A8C" w:rsidR="0065759B" w:rsidRDefault="0065759B"/>
    <w:p w14:paraId="2D213818" w14:textId="615EF32D" w:rsidR="00E81DDA" w:rsidRDefault="00E81DDA">
      <w:r>
        <w:br w:type="page"/>
      </w:r>
    </w:p>
    <w:p w14:paraId="3EC68812" w14:textId="20906D68" w:rsidR="00E81DDA" w:rsidRPr="002411F9" w:rsidRDefault="00E81DDA" w:rsidP="00E81DDA">
      <w:pPr>
        <w:rPr>
          <w:b/>
          <w:bCs/>
        </w:rPr>
      </w:pPr>
      <w:r w:rsidRPr="002411F9">
        <w:rPr>
          <w:b/>
          <w:bCs/>
        </w:rPr>
        <w:t xml:space="preserve">Step </w:t>
      </w:r>
      <w:r>
        <w:rPr>
          <w:b/>
          <w:bCs/>
        </w:rPr>
        <w:t>3</w:t>
      </w:r>
      <w:r w:rsidRPr="002411F9">
        <w:rPr>
          <w:b/>
          <w:bCs/>
        </w:rPr>
        <w:t xml:space="preserve"> –</w:t>
      </w:r>
      <w:r>
        <w:rPr>
          <w:b/>
          <w:bCs/>
        </w:rPr>
        <w:t xml:space="preserve"> </w:t>
      </w:r>
      <w:r w:rsidRPr="00E81DDA">
        <w:rPr>
          <w:b/>
          <w:bCs/>
        </w:rPr>
        <w:t xml:space="preserve">Nitrogen and phosphorus recommendations </w:t>
      </w:r>
      <w:r>
        <w:rPr>
          <w:b/>
          <w:bCs/>
        </w:rPr>
        <w:t xml:space="preserve">made </w:t>
      </w:r>
      <w:r w:rsidRPr="00E81DDA">
        <w:rPr>
          <w:b/>
          <w:bCs/>
        </w:rPr>
        <w:t>by an appropriate person</w:t>
      </w:r>
      <w:r>
        <w:rPr>
          <w:b/>
          <w:bCs/>
        </w:rPr>
        <w:t xml:space="preserve">. </w:t>
      </w:r>
    </w:p>
    <w:p w14:paraId="2CA968A8" w14:textId="166BA71A" w:rsidR="00E81DDA" w:rsidRDefault="00E81DDA" w:rsidP="00E81DDA">
      <w:pPr>
        <w:spacing w:before="120" w:after="120"/>
      </w:pPr>
      <w:r>
        <w:t>This section should detail how you intend to fertilise your banana crop.</w:t>
      </w:r>
      <w:r w:rsidRPr="00E81DDA">
        <w:t xml:space="preserve"> </w:t>
      </w:r>
      <w:r>
        <w:t>The recommendations will form the basis of your planned application of fertiliser to your farm (and refer to E5.1).</w:t>
      </w:r>
    </w:p>
    <w:p w14:paraId="38EE8859" w14:textId="3AF65694" w:rsidR="007E1855" w:rsidRPr="00E81DDA" w:rsidRDefault="00E81DDA" w:rsidP="00E81DDA">
      <w:pPr>
        <w:pStyle w:val="ListParagraph"/>
        <w:numPr>
          <w:ilvl w:val="0"/>
          <w:numId w:val="11"/>
        </w:numPr>
      </w:pPr>
      <w:r>
        <w:t>R</w:t>
      </w:r>
      <w:r w:rsidR="0055421C" w:rsidRPr="00E81DDA">
        <w:t>ecommended application rates</w:t>
      </w:r>
      <w:r w:rsidRPr="00E81DDA">
        <w:t xml:space="preserve"> </w:t>
      </w:r>
      <w:r>
        <w:t>of Nitrogen (N) and Phosphorus (P).</w:t>
      </w:r>
    </w:p>
    <w:p w14:paraId="52C1F2A8" w14:textId="4B92BF21" w:rsidR="00E81DDA" w:rsidRDefault="00E81DDA" w:rsidP="00E81DDA">
      <w:pPr>
        <w:pStyle w:val="ListParagraph"/>
        <w:numPr>
          <w:ilvl w:val="0"/>
          <w:numId w:val="11"/>
        </w:numPr>
        <w:spacing w:before="120" w:after="120"/>
      </w:pPr>
      <w:r>
        <w:t>Can also include Potassium (K) rates and other nutrients, elements or additives such as lime, mill mud and mill ash.</w:t>
      </w:r>
    </w:p>
    <w:p w14:paraId="4F0DC223" w14:textId="77777777" w:rsidR="00CC4CE2" w:rsidRDefault="00E81DDA" w:rsidP="00E81DDA">
      <w:pPr>
        <w:pStyle w:val="ListParagraph"/>
        <w:numPr>
          <w:ilvl w:val="0"/>
          <w:numId w:val="11"/>
        </w:numPr>
      </w:pPr>
      <w:r>
        <w:t xml:space="preserve">Application methods for fertiliser (i.e. fertigation vs spreader) and will you use different methods (i.e. in wet and dry periods), </w:t>
      </w:r>
    </w:p>
    <w:p w14:paraId="3044DF48" w14:textId="3A31D5FA" w:rsidR="00E81DDA" w:rsidRDefault="00E81DDA" w:rsidP="00E81DDA">
      <w:pPr>
        <w:pStyle w:val="ListParagraph"/>
        <w:numPr>
          <w:ilvl w:val="0"/>
          <w:numId w:val="11"/>
        </w:numPr>
      </w:pPr>
      <w:r>
        <w:t>A</w:t>
      </w:r>
      <w:r w:rsidR="0055421C" w:rsidRPr="00E81DDA">
        <w:t>ppropriate frequency of application</w:t>
      </w:r>
      <w:r w:rsidR="00780DC1">
        <w:t>.</w:t>
      </w:r>
    </w:p>
    <w:p w14:paraId="0B0D5296" w14:textId="77777777" w:rsidR="00CC4CE2" w:rsidRDefault="00E81DDA" w:rsidP="00CC4CE2">
      <w:pPr>
        <w:pStyle w:val="ListParagraph"/>
        <w:numPr>
          <w:ilvl w:val="0"/>
          <w:numId w:val="11"/>
        </w:numPr>
      </w:pPr>
      <w:r>
        <w:t>Records kept of the recommendations made by an appropriate person (such as your agronomist or reseller).</w:t>
      </w:r>
      <w:r w:rsidR="00CC4CE2" w:rsidRPr="00CC4CE2">
        <w:t xml:space="preserve"> </w:t>
      </w:r>
    </w:p>
    <w:p w14:paraId="05870810" w14:textId="77777777" w:rsidR="00E81DDA" w:rsidRPr="00E81DDA" w:rsidRDefault="00E81DDA" w:rsidP="00E81DDA">
      <w:pPr>
        <w:spacing w:before="120" w:after="120"/>
        <w:rPr>
          <w:b/>
          <w:bCs/>
        </w:rPr>
      </w:pPr>
      <w:r w:rsidRPr="00E81DDA">
        <w:rPr>
          <w:b/>
          <w:bCs/>
        </w:rPr>
        <w:t>If you are exceeding the thresholds you must demonstrate that you have used the leaf test results and the prescribed banana methodology.</w:t>
      </w:r>
    </w:p>
    <w:tbl>
      <w:tblPr>
        <w:tblStyle w:val="TableGrid"/>
        <w:tblW w:w="0" w:type="auto"/>
        <w:tblInd w:w="0" w:type="dxa"/>
        <w:tblLook w:val="04A0" w:firstRow="1" w:lastRow="0" w:firstColumn="1" w:lastColumn="0" w:noHBand="0" w:noVBand="1"/>
      </w:tblPr>
      <w:tblGrid>
        <w:gridCol w:w="13948"/>
      </w:tblGrid>
      <w:tr w:rsidR="00E81DDA" w14:paraId="469CA011" w14:textId="77777777" w:rsidTr="00E81DDA">
        <w:trPr>
          <w:trHeight w:val="5258"/>
        </w:trPr>
        <w:tc>
          <w:tcPr>
            <w:tcW w:w="13948" w:type="dxa"/>
          </w:tcPr>
          <w:p w14:paraId="5B076AE4" w14:textId="77777777" w:rsidR="00E81DDA" w:rsidRDefault="00E81DDA" w:rsidP="00E81DDA">
            <w:pPr>
              <w:spacing w:before="120" w:after="120"/>
              <w:ind w:left="720"/>
            </w:pPr>
          </w:p>
        </w:tc>
      </w:tr>
    </w:tbl>
    <w:p w14:paraId="07BD6947" w14:textId="77777777" w:rsidR="008B1DE6" w:rsidRDefault="008B1DE6"/>
    <w:p w14:paraId="087C73A8" w14:textId="77777777" w:rsidR="008B1DE6" w:rsidRPr="00553EA1" w:rsidRDefault="008B1DE6" w:rsidP="008B1DE6">
      <w:pPr>
        <w:rPr>
          <w:i/>
          <w:iCs/>
        </w:rPr>
      </w:pPr>
      <w:r w:rsidRPr="00553EA1">
        <w:rPr>
          <w:i/>
          <w:iCs/>
        </w:rPr>
        <w:t xml:space="preserve">This page could be used as a divider page in your folder with paper records slotted in behind.  </w:t>
      </w:r>
    </w:p>
    <w:p w14:paraId="6B0BDB49" w14:textId="7546FEA8" w:rsidR="00CC4CE2" w:rsidRPr="00CC4CE2" w:rsidRDefault="00CC4CE2" w:rsidP="00CC4CE2">
      <w:pPr>
        <w:rPr>
          <w:b/>
          <w:bCs/>
        </w:rPr>
      </w:pPr>
      <w:r w:rsidRPr="00CC4CE2">
        <w:rPr>
          <w:b/>
          <w:bCs/>
        </w:rPr>
        <w:t xml:space="preserve">Step 4 – Keep a record of all </w:t>
      </w:r>
      <w:r>
        <w:rPr>
          <w:b/>
          <w:bCs/>
        </w:rPr>
        <w:t>fertiliser and soil additive applications (</w:t>
      </w:r>
      <w:r w:rsidRPr="00CC4CE2">
        <w:rPr>
          <w:b/>
          <w:bCs/>
        </w:rPr>
        <w:t>including manure and mill mud/mill ash</w:t>
      </w:r>
      <w:r>
        <w:rPr>
          <w:b/>
          <w:bCs/>
        </w:rPr>
        <w:t>) as per E5.4 and additionally:</w:t>
      </w:r>
    </w:p>
    <w:p w14:paraId="3808DEEE" w14:textId="67709A34" w:rsidR="00CC4CE2" w:rsidRDefault="00CC4CE2" w:rsidP="00CC4CE2">
      <w:pPr>
        <w:pStyle w:val="ListParagraph"/>
        <w:numPr>
          <w:ilvl w:val="0"/>
          <w:numId w:val="11"/>
        </w:numPr>
      </w:pPr>
      <w:r>
        <w:t xml:space="preserve">Specific location of each application (e.g. farm number with block name or management zone) </w:t>
      </w:r>
    </w:p>
    <w:p w14:paraId="5C889981" w14:textId="3BBDA760" w:rsidR="00CC4CE2" w:rsidRDefault="00CC4CE2" w:rsidP="00CC4CE2">
      <w:pPr>
        <w:pStyle w:val="ListParagraph"/>
        <w:numPr>
          <w:ilvl w:val="0"/>
          <w:numId w:val="11"/>
        </w:numPr>
      </w:pPr>
      <w:r>
        <w:t xml:space="preserve">Agricultural chemical and/or fertiliser product applied to each location, including </w:t>
      </w:r>
    </w:p>
    <w:p w14:paraId="7F75D8D4" w14:textId="32A5F7BC" w:rsidR="00CC4CE2" w:rsidRDefault="00553EA1" w:rsidP="00CC4CE2">
      <w:pPr>
        <w:pStyle w:val="ListParagraph"/>
        <w:numPr>
          <w:ilvl w:val="1"/>
          <w:numId w:val="11"/>
        </w:numPr>
      </w:pPr>
      <w:r>
        <w:t>p</w:t>
      </w:r>
      <w:r w:rsidR="00CC4CE2">
        <w:t xml:space="preserve">roduct name </w:t>
      </w:r>
    </w:p>
    <w:p w14:paraId="5BA3BE5E" w14:textId="498534BD" w:rsidR="00CC4CE2" w:rsidRDefault="00CC4CE2" w:rsidP="00CC4CE2">
      <w:pPr>
        <w:pStyle w:val="ListParagraph"/>
        <w:numPr>
          <w:ilvl w:val="1"/>
          <w:numId w:val="11"/>
        </w:numPr>
      </w:pPr>
      <w:r>
        <w:t xml:space="preserve">product percentage of nitrogen </w:t>
      </w:r>
      <w:r w:rsidR="00553EA1">
        <w:t xml:space="preserve">(N) </w:t>
      </w:r>
      <w:r>
        <w:t>and phosphorus</w:t>
      </w:r>
      <w:r w:rsidR="00553EA1">
        <w:t xml:space="preserve"> (P)</w:t>
      </w:r>
    </w:p>
    <w:p w14:paraId="2E739C41" w14:textId="256A869F" w:rsidR="00CC4CE2" w:rsidRDefault="00CC4CE2" w:rsidP="00CC4CE2">
      <w:pPr>
        <w:pStyle w:val="ListParagraph"/>
        <w:numPr>
          <w:ilvl w:val="0"/>
          <w:numId w:val="11"/>
        </w:numPr>
      </w:pPr>
      <w:r>
        <w:t>a calculation/ record of the cumulative amount of N and P to ensure you do not exceed the threshold</w:t>
      </w:r>
    </w:p>
    <w:p w14:paraId="09409B59" w14:textId="0D4C99D3" w:rsidR="00CC4CE2" w:rsidRDefault="00CC4CE2" w:rsidP="00CC4CE2">
      <w:r>
        <w:t xml:space="preserve">Ensure equipment used is maintained calibrated as per E5.3. </w:t>
      </w:r>
    </w:p>
    <w:p w14:paraId="3AB0BE19" w14:textId="1285919D" w:rsidR="0096599A" w:rsidRPr="001F6550" w:rsidRDefault="0096599A" w:rsidP="00CC4CE2">
      <w:r>
        <w:rPr>
          <w:b/>
          <w:bCs/>
        </w:rPr>
        <w:t xml:space="preserve">Freshcare Form - </w:t>
      </w:r>
      <w:r w:rsidRPr="00780DC1">
        <w:rPr>
          <w:b/>
        </w:rPr>
        <w:t xml:space="preserve">E5 </w:t>
      </w:r>
      <w:r w:rsidR="00780DC1" w:rsidRPr="00780DC1">
        <w:rPr>
          <w:b/>
        </w:rPr>
        <w:t xml:space="preserve">(modified) </w:t>
      </w:r>
      <w:r w:rsidRPr="00780DC1">
        <w:rPr>
          <w:b/>
        </w:rPr>
        <w:t>Fertilisers and so</w:t>
      </w:r>
      <w:r w:rsidR="00780DC1" w:rsidRPr="00780DC1">
        <w:rPr>
          <w:b/>
        </w:rPr>
        <w:t>il additives application record - b</w:t>
      </w:r>
      <w:r w:rsidRPr="00780DC1">
        <w:rPr>
          <w:b/>
        </w:rPr>
        <w:t>anana</w:t>
      </w:r>
      <w:r w:rsidR="00780DC1" w:rsidRPr="00780DC1">
        <w:rPr>
          <w:b/>
        </w:rPr>
        <w:t>s</w:t>
      </w:r>
      <w:r w:rsidRPr="00780DC1">
        <w:rPr>
          <w:b/>
        </w:rPr>
        <w:t xml:space="preserve"> </w:t>
      </w:r>
      <w:r w:rsidR="00553EA1">
        <w:t xml:space="preserve">can be used to capture this data. </w:t>
      </w:r>
      <w:r w:rsidRPr="001F6550">
        <w:t xml:space="preserve"> </w:t>
      </w:r>
    </w:p>
    <w:p w14:paraId="39683A31" w14:textId="34BBC877" w:rsidR="0096599A" w:rsidRDefault="00780DC1" w:rsidP="00780DC1">
      <w:pPr>
        <w:rPr>
          <w:b/>
          <w:bCs/>
        </w:rPr>
      </w:pPr>
      <w:r>
        <w:rPr>
          <w:noProof/>
          <w:lang w:val="en-US"/>
        </w:rPr>
        <w:drawing>
          <wp:inline distT="0" distB="0" distL="0" distR="0" wp14:anchorId="23063F18" wp14:editId="0FB32A3B">
            <wp:extent cx="8375650" cy="1690372"/>
            <wp:effectExtent l="133350" t="114300" r="120650" b="1574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427820" cy="170090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00707AB" w14:textId="0DC890DA" w:rsidR="00CC4CE2" w:rsidRDefault="00CC4CE2" w:rsidP="00CC4CE2">
      <w:r w:rsidRPr="00CC4CE2">
        <w:rPr>
          <w:b/>
          <w:bCs/>
        </w:rPr>
        <w:t>Betterbunch</w:t>
      </w:r>
      <w:r w:rsidR="00780DC1">
        <w:t xml:space="preserve"> </w:t>
      </w:r>
      <w:r>
        <w:t xml:space="preserve">a free app developed by ABGC: </w:t>
      </w:r>
      <w:hyperlink r:id="rId17" w:history="1">
        <w:r w:rsidRPr="00C522C3">
          <w:rPr>
            <w:rStyle w:val="Hyperlink"/>
          </w:rPr>
          <w:t>www.abgc.org.au</w:t>
        </w:r>
      </w:hyperlink>
      <w:r w:rsidRPr="00CC4CE2">
        <w:t xml:space="preserve"> </w:t>
      </w:r>
      <w:r w:rsidR="00780DC1">
        <w:t xml:space="preserve">is also </w:t>
      </w:r>
      <w:r w:rsidRPr="00CC4CE2">
        <w:t>available to support this record keeping.</w:t>
      </w:r>
      <w:r>
        <w:rPr>
          <w:rStyle w:val="Hyperlink"/>
        </w:rPr>
        <w:t xml:space="preserve"> </w:t>
      </w:r>
    </w:p>
    <w:tbl>
      <w:tblPr>
        <w:tblStyle w:val="TableGrid"/>
        <w:tblW w:w="0" w:type="auto"/>
        <w:tblInd w:w="0" w:type="dxa"/>
        <w:tblLook w:val="04A0" w:firstRow="1" w:lastRow="0" w:firstColumn="1" w:lastColumn="0" w:noHBand="0" w:noVBand="1"/>
      </w:tblPr>
      <w:tblGrid>
        <w:gridCol w:w="13948"/>
      </w:tblGrid>
      <w:tr w:rsidR="001F6550" w14:paraId="6852EABC" w14:textId="77777777" w:rsidTr="00553EA1">
        <w:trPr>
          <w:trHeight w:val="2453"/>
        </w:trPr>
        <w:tc>
          <w:tcPr>
            <w:tcW w:w="13948" w:type="dxa"/>
          </w:tcPr>
          <w:p w14:paraId="7D508CDB" w14:textId="586A9714" w:rsidR="001F6550" w:rsidRPr="001F6550" w:rsidRDefault="001F6550" w:rsidP="001F6550">
            <w:pPr>
              <w:rPr>
                <w:b/>
                <w:bCs/>
              </w:rPr>
            </w:pPr>
            <w:r w:rsidRPr="001F6550">
              <w:rPr>
                <w:b/>
                <w:bCs/>
              </w:rPr>
              <w:t>Calculation/ record of the cumulative amount of N and P to ensure you do not exceed the threshold</w:t>
            </w:r>
          </w:p>
          <w:p w14:paraId="50073B2B" w14:textId="77777777" w:rsidR="001F6550" w:rsidRDefault="001F6550"/>
          <w:p w14:paraId="0117402E" w14:textId="77777777" w:rsidR="001F6550" w:rsidRDefault="001F6550"/>
          <w:p w14:paraId="1DBC8CB4" w14:textId="77777777" w:rsidR="001F6550" w:rsidRDefault="001F6550"/>
          <w:p w14:paraId="5BF0050B" w14:textId="77777777" w:rsidR="001F6550" w:rsidRDefault="001F6550"/>
          <w:p w14:paraId="37BD0D65" w14:textId="77777777" w:rsidR="001F6550" w:rsidRDefault="001F6550"/>
          <w:p w14:paraId="21521B65" w14:textId="77777777" w:rsidR="001F6550" w:rsidRDefault="001F6550"/>
          <w:p w14:paraId="060EC99F" w14:textId="77777777" w:rsidR="001F6550" w:rsidRDefault="001F6550"/>
          <w:p w14:paraId="01AD16DE" w14:textId="34DD29A5" w:rsidR="001F6550" w:rsidRDefault="001F6550"/>
        </w:tc>
      </w:tr>
    </w:tbl>
    <w:p w14:paraId="4F6C124E" w14:textId="0A260652" w:rsidR="0096599A" w:rsidRDefault="0096599A">
      <w:r>
        <w:br w:type="page"/>
      </w:r>
    </w:p>
    <w:p w14:paraId="3B1AD6A5" w14:textId="77777777" w:rsidR="00676D23" w:rsidRPr="00676D23" w:rsidRDefault="00CC4CE2" w:rsidP="00676D23">
      <w:pPr>
        <w:rPr>
          <w:b/>
          <w:bCs/>
        </w:rPr>
      </w:pPr>
      <w:r w:rsidRPr="00676D23">
        <w:rPr>
          <w:b/>
          <w:bCs/>
        </w:rPr>
        <w:t xml:space="preserve">Step 5 – </w:t>
      </w:r>
      <w:r w:rsidR="00676D23" w:rsidRPr="00676D23">
        <w:rPr>
          <w:b/>
          <w:bCs/>
        </w:rPr>
        <w:t xml:space="preserve">Annual yields achieved (for example - the total number of cartons per year per farm) </w:t>
      </w:r>
    </w:p>
    <w:p w14:paraId="6951F616" w14:textId="77777777" w:rsidR="00CC4CE2" w:rsidRDefault="00CC4CE2" w:rsidP="00CC4CE2">
      <w:r>
        <w:t xml:space="preserve">You must make a record of your annual banana production. The yield measurement used can be determined by the farmer, but the same measure should be used each year. Example yield measurements include: </w:t>
      </w:r>
    </w:p>
    <w:p w14:paraId="085AA63A" w14:textId="77777777" w:rsidR="00CC4CE2" w:rsidRDefault="00CC4CE2" w:rsidP="001F6550">
      <w:pPr>
        <w:pStyle w:val="ListParagraph"/>
        <w:numPr>
          <w:ilvl w:val="0"/>
          <w:numId w:val="12"/>
        </w:numPr>
        <w:ind w:left="851" w:hanging="425"/>
      </w:pPr>
      <w:r>
        <w:t xml:space="preserve">the number of cartons per year per farm </w:t>
      </w:r>
    </w:p>
    <w:p w14:paraId="18A7B8B1" w14:textId="77777777" w:rsidR="00CC4CE2" w:rsidRDefault="00CC4CE2" w:rsidP="001F6550">
      <w:pPr>
        <w:pStyle w:val="ListParagraph"/>
        <w:numPr>
          <w:ilvl w:val="0"/>
          <w:numId w:val="12"/>
        </w:numPr>
        <w:ind w:left="851" w:hanging="425"/>
      </w:pPr>
      <w:r>
        <w:t xml:space="preserve">the amount of bananas produced per year per farm </w:t>
      </w:r>
    </w:p>
    <w:p w14:paraId="75652BEC" w14:textId="77777777" w:rsidR="00CC4CE2" w:rsidRDefault="00CC4CE2" w:rsidP="001F6550">
      <w:pPr>
        <w:pStyle w:val="ListParagraph"/>
        <w:numPr>
          <w:ilvl w:val="0"/>
          <w:numId w:val="12"/>
        </w:numPr>
        <w:ind w:left="851" w:hanging="425"/>
      </w:pPr>
      <w:r>
        <w:t xml:space="preserve">the amount of bananas sent to market </w:t>
      </w:r>
    </w:p>
    <w:p w14:paraId="2181617D" w14:textId="355DDAE1" w:rsidR="00CC4CE2" w:rsidRDefault="00CC4CE2" w:rsidP="005F09FF">
      <w:pPr>
        <w:pStyle w:val="ListParagraph"/>
        <w:numPr>
          <w:ilvl w:val="0"/>
          <w:numId w:val="12"/>
        </w:numPr>
        <w:ind w:left="851" w:hanging="425"/>
      </w:pPr>
      <w:r>
        <w:t>or any other annual quantifiable measurement of production</w:t>
      </w:r>
      <w:r w:rsidR="001F6550">
        <w:t>.</w:t>
      </w:r>
    </w:p>
    <w:tbl>
      <w:tblPr>
        <w:tblStyle w:val="TableGrid"/>
        <w:tblW w:w="0" w:type="auto"/>
        <w:tblInd w:w="0" w:type="dxa"/>
        <w:tblLook w:val="04A0" w:firstRow="1" w:lastRow="0" w:firstColumn="1" w:lastColumn="0" w:noHBand="0" w:noVBand="1"/>
      </w:tblPr>
      <w:tblGrid>
        <w:gridCol w:w="13948"/>
      </w:tblGrid>
      <w:tr w:rsidR="001F6550" w14:paraId="65AE4F46" w14:textId="77777777" w:rsidTr="00780DC1">
        <w:trPr>
          <w:trHeight w:val="6614"/>
        </w:trPr>
        <w:tc>
          <w:tcPr>
            <w:tcW w:w="13948" w:type="dxa"/>
          </w:tcPr>
          <w:p w14:paraId="0AC5E9FD" w14:textId="77777777" w:rsidR="001F6550" w:rsidRDefault="001F6550" w:rsidP="001F6550">
            <w:pPr>
              <w:spacing w:before="120" w:after="120"/>
            </w:pPr>
          </w:p>
        </w:tc>
      </w:tr>
    </w:tbl>
    <w:p w14:paraId="5416C997" w14:textId="77777777" w:rsidR="00CC4CE2" w:rsidRPr="00780DC1" w:rsidRDefault="00CC4CE2">
      <w:pPr>
        <w:rPr>
          <w:sz w:val="10"/>
        </w:rPr>
      </w:pPr>
    </w:p>
    <w:sectPr w:rsidR="00CC4CE2" w:rsidRPr="00780DC1" w:rsidSect="002411F9">
      <w:headerReference w:type="default" r:id="rId18"/>
      <w:footerReference w:type="default" r:id="rId19"/>
      <w:pgSz w:w="16838" w:h="11906" w:orient="landscape"/>
      <w:pgMar w:top="1440" w:right="1440" w:bottom="851" w:left="144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5CE50" w14:textId="77777777" w:rsidR="008F45F8" w:rsidRDefault="008F45F8" w:rsidP="00AE57D1">
      <w:pPr>
        <w:spacing w:after="0" w:line="240" w:lineRule="auto"/>
      </w:pPr>
      <w:r>
        <w:separator/>
      </w:r>
    </w:p>
  </w:endnote>
  <w:endnote w:type="continuationSeparator" w:id="0">
    <w:p w14:paraId="31F7EB89" w14:textId="77777777" w:rsidR="008F45F8" w:rsidRDefault="008F45F8" w:rsidP="00AE5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2"/>
      <w:gridCol w:w="5495"/>
      <w:gridCol w:w="1476"/>
      <w:gridCol w:w="3455"/>
    </w:tblGrid>
    <w:tr w:rsidR="00AE57D1" w14:paraId="650E0FF1" w14:textId="77777777" w:rsidTr="00AE57D1">
      <w:tc>
        <w:tcPr>
          <w:tcW w:w="3847" w:type="dxa"/>
          <w:vAlign w:val="center"/>
          <w:hideMark/>
        </w:tcPr>
        <w:p w14:paraId="5DD9216C" w14:textId="77777777" w:rsidR="00AE57D1" w:rsidRDefault="00AE57D1" w:rsidP="00AE57D1">
          <w:pPr>
            <w:tabs>
              <w:tab w:val="left" w:pos="7088"/>
            </w:tabs>
            <w:autoSpaceDE w:val="0"/>
            <w:autoSpaceDN w:val="0"/>
            <w:adjustRightInd w:val="0"/>
            <w:rPr>
              <w:rFonts w:asciiTheme="majorHAnsi" w:hAnsiTheme="majorHAnsi" w:cstheme="majorHAnsi"/>
              <w:sz w:val="16"/>
              <w:szCs w:val="16"/>
            </w:rPr>
          </w:pPr>
          <w:r>
            <w:rPr>
              <w:rFonts w:asciiTheme="majorHAnsi" w:hAnsiTheme="majorHAnsi" w:cstheme="majorHAnsi"/>
              <w:sz w:val="16"/>
              <w:szCs w:val="16"/>
            </w:rPr>
            <w:t xml:space="preserve">FRESHCARE ENVIRONMENT </w:t>
          </w:r>
        </w:p>
      </w:tc>
      <w:tc>
        <w:tcPr>
          <w:tcW w:w="6076" w:type="dxa"/>
          <w:vAlign w:val="center"/>
          <w:hideMark/>
        </w:tcPr>
        <w:p w14:paraId="6DE40552" w14:textId="3E9A2112" w:rsidR="00AE57D1" w:rsidRDefault="00AE57D1" w:rsidP="00780DC1">
          <w:pPr>
            <w:tabs>
              <w:tab w:val="left" w:pos="7088"/>
            </w:tabs>
            <w:autoSpaceDE w:val="0"/>
            <w:autoSpaceDN w:val="0"/>
            <w:adjustRightInd w:val="0"/>
            <w:jc w:val="center"/>
            <w:rPr>
              <w:rFonts w:asciiTheme="majorHAnsi" w:hAnsiTheme="majorHAnsi" w:cstheme="majorHAnsi"/>
              <w:sz w:val="16"/>
              <w:szCs w:val="16"/>
            </w:rPr>
          </w:pPr>
          <w:r>
            <w:rPr>
              <w:rFonts w:asciiTheme="majorHAnsi" w:hAnsiTheme="majorHAnsi" w:cstheme="majorHAnsi"/>
              <w:sz w:val="16"/>
              <w:szCs w:val="16"/>
            </w:rPr>
            <w:t>FORM – E5</w:t>
          </w:r>
          <w:r w:rsidR="00780DC1">
            <w:rPr>
              <w:rFonts w:asciiTheme="majorHAnsi" w:hAnsiTheme="majorHAnsi" w:cstheme="majorHAnsi"/>
              <w:sz w:val="16"/>
              <w:szCs w:val="16"/>
            </w:rPr>
            <w:t xml:space="preserve"> (insert) </w:t>
          </w:r>
          <w:r>
            <w:rPr>
              <w:rFonts w:asciiTheme="majorHAnsi" w:hAnsiTheme="majorHAnsi" w:cstheme="majorHAnsi"/>
              <w:sz w:val="16"/>
              <w:szCs w:val="16"/>
            </w:rPr>
            <w:t xml:space="preserve">NUTRIENT MANAGEMENT PLAN </w:t>
          </w:r>
          <w:r w:rsidR="00780DC1">
            <w:rPr>
              <w:rFonts w:asciiTheme="majorHAnsi" w:hAnsiTheme="majorHAnsi" w:cstheme="majorHAnsi"/>
              <w:sz w:val="16"/>
              <w:szCs w:val="16"/>
            </w:rPr>
            <w:t>- BANANAS</w:t>
          </w:r>
        </w:p>
      </w:tc>
      <w:tc>
        <w:tcPr>
          <w:tcW w:w="1618" w:type="dxa"/>
          <w:vAlign w:val="center"/>
          <w:hideMark/>
        </w:tcPr>
        <w:p w14:paraId="5FAD19DE" w14:textId="77777777" w:rsidR="00AE57D1" w:rsidRDefault="00AE57D1" w:rsidP="00AE57D1">
          <w:pPr>
            <w:tabs>
              <w:tab w:val="left" w:pos="7088"/>
            </w:tabs>
            <w:autoSpaceDE w:val="0"/>
            <w:autoSpaceDN w:val="0"/>
            <w:adjustRightInd w:val="0"/>
            <w:jc w:val="center"/>
            <w:rPr>
              <w:rFonts w:asciiTheme="majorHAnsi" w:hAnsiTheme="majorHAnsi" w:cstheme="majorHAnsi"/>
              <w:sz w:val="16"/>
              <w:szCs w:val="16"/>
            </w:rPr>
          </w:pPr>
          <w:r>
            <w:rPr>
              <w:rFonts w:asciiTheme="majorHAnsi" w:hAnsiTheme="majorHAnsi" w:cstheme="majorHAnsi"/>
              <w:sz w:val="16"/>
              <w:szCs w:val="16"/>
            </w:rPr>
            <w:t>Ref - 1.0</w:t>
          </w:r>
        </w:p>
      </w:tc>
      <w:tc>
        <w:tcPr>
          <w:tcW w:w="3847" w:type="dxa"/>
          <w:vAlign w:val="center"/>
          <w:hideMark/>
        </w:tcPr>
        <w:p w14:paraId="0EC635E3" w14:textId="0D22A1CB" w:rsidR="00AE57D1" w:rsidRDefault="00AE57D1" w:rsidP="00AE57D1">
          <w:pPr>
            <w:tabs>
              <w:tab w:val="left" w:pos="7088"/>
            </w:tabs>
            <w:autoSpaceDE w:val="0"/>
            <w:autoSpaceDN w:val="0"/>
            <w:adjustRightInd w:val="0"/>
            <w:jc w:val="right"/>
            <w:rPr>
              <w:rFonts w:asciiTheme="majorHAnsi" w:hAnsiTheme="majorHAnsi" w:cstheme="majorHAnsi"/>
              <w:sz w:val="16"/>
              <w:szCs w:val="16"/>
            </w:rPr>
          </w:pPr>
          <w:r>
            <w:rPr>
              <w:rFonts w:asciiTheme="majorHAnsi" w:hAnsiTheme="majorHAnsi" w:cstheme="majorHAnsi"/>
              <w:sz w:val="16"/>
              <w:szCs w:val="16"/>
            </w:rPr>
            <w:t xml:space="preserve">PAGE </w:t>
          </w:r>
          <w:r>
            <w:rPr>
              <w:rFonts w:asciiTheme="majorHAnsi" w:hAnsiTheme="majorHAnsi" w:cstheme="majorHAnsi"/>
              <w:b/>
              <w:bCs/>
              <w:sz w:val="16"/>
              <w:szCs w:val="16"/>
            </w:rPr>
            <w:fldChar w:fldCharType="begin"/>
          </w:r>
          <w:r>
            <w:rPr>
              <w:rFonts w:asciiTheme="majorHAnsi" w:hAnsiTheme="majorHAnsi" w:cstheme="majorHAnsi"/>
              <w:b/>
              <w:bCs/>
              <w:sz w:val="16"/>
              <w:szCs w:val="16"/>
            </w:rPr>
            <w:instrText xml:space="preserve"> PAGE  \* Arabic  \* MERGEFORMAT </w:instrText>
          </w:r>
          <w:r>
            <w:rPr>
              <w:rFonts w:asciiTheme="majorHAnsi" w:hAnsiTheme="majorHAnsi" w:cstheme="majorHAnsi"/>
              <w:b/>
              <w:bCs/>
              <w:sz w:val="16"/>
              <w:szCs w:val="16"/>
            </w:rPr>
            <w:fldChar w:fldCharType="separate"/>
          </w:r>
          <w:r w:rsidR="008F45F8">
            <w:rPr>
              <w:rFonts w:asciiTheme="majorHAnsi" w:hAnsiTheme="majorHAnsi" w:cstheme="majorHAnsi"/>
              <w:b/>
              <w:bCs/>
              <w:noProof/>
              <w:sz w:val="16"/>
              <w:szCs w:val="16"/>
            </w:rPr>
            <w:t>1</w:t>
          </w:r>
          <w:r>
            <w:rPr>
              <w:rFonts w:asciiTheme="majorHAnsi" w:hAnsiTheme="majorHAnsi" w:cstheme="majorHAnsi"/>
              <w:b/>
              <w:bCs/>
              <w:sz w:val="16"/>
              <w:szCs w:val="16"/>
            </w:rPr>
            <w:fldChar w:fldCharType="end"/>
          </w:r>
          <w:r>
            <w:rPr>
              <w:rFonts w:asciiTheme="majorHAnsi" w:hAnsiTheme="majorHAnsi" w:cstheme="majorHAnsi"/>
              <w:sz w:val="16"/>
              <w:szCs w:val="16"/>
            </w:rPr>
            <w:t xml:space="preserve"> OF </w:t>
          </w:r>
          <w:r>
            <w:rPr>
              <w:rFonts w:asciiTheme="majorHAnsi" w:hAnsiTheme="majorHAnsi" w:cstheme="majorHAnsi"/>
              <w:b/>
              <w:bCs/>
              <w:sz w:val="16"/>
              <w:szCs w:val="16"/>
            </w:rPr>
            <w:fldChar w:fldCharType="begin"/>
          </w:r>
          <w:r>
            <w:rPr>
              <w:rFonts w:asciiTheme="majorHAnsi" w:hAnsiTheme="majorHAnsi" w:cstheme="majorHAnsi"/>
              <w:b/>
              <w:bCs/>
              <w:sz w:val="16"/>
              <w:szCs w:val="16"/>
            </w:rPr>
            <w:instrText xml:space="preserve"> NUMPAGES  \* Arabic  \* MERGEFORMAT </w:instrText>
          </w:r>
          <w:r>
            <w:rPr>
              <w:rFonts w:asciiTheme="majorHAnsi" w:hAnsiTheme="majorHAnsi" w:cstheme="majorHAnsi"/>
              <w:b/>
              <w:bCs/>
              <w:sz w:val="16"/>
              <w:szCs w:val="16"/>
            </w:rPr>
            <w:fldChar w:fldCharType="separate"/>
          </w:r>
          <w:r w:rsidR="008F45F8">
            <w:rPr>
              <w:rFonts w:asciiTheme="majorHAnsi" w:hAnsiTheme="majorHAnsi" w:cstheme="majorHAnsi"/>
              <w:b/>
              <w:bCs/>
              <w:noProof/>
              <w:sz w:val="16"/>
              <w:szCs w:val="16"/>
            </w:rPr>
            <w:t>1</w:t>
          </w:r>
          <w:r>
            <w:rPr>
              <w:rFonts w:asciiTheme="majorHAnsi" w:hAnsiTheme="majorHAnsi" w:cstheme="majorHAnsi"/>
              <w:b/>
              <w:bCs/>
              <w:sz w:val="16"/>
              <w:szCs w:val="16"/>
            </w:rPr>
            <w:fldChar w:fldCharType="end"/>
          </w:r>
        </w:p>
      </w:tc>
    </w:tr>
  </w:tbl>
  <w:p w14:paraId="1B51BD2B" w14:textId="77777777" w:rsidR="00AE57D1" w:rsidRDefault="00AE5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DD159" w14:textId="77777777" w:rsidR="008F45F8" w:rsidRDefault="008F45F8" w:rsidP="00AE57D1">
      <w:pPr>
        <w:spacing w:after="0" w:line="240" w:lineRule="auto"/>
      </w:pPr>
      <w:r>
        <w:separator/>
      </w:r>
    </w:p>
  </w:footnote>
  <w:footnote w:type="continuationSeparator" w:id="0">
    <w:p w14:paraId="63545772" w14:textId="77777777" w:rsidR="008F45F8" w:rsidRDefault="008F45F8" w:rsidP="00AE5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AA48A" w14:textId="31724E0E" w:rsidR="00AE57D1" w:rsidRDefault="00780DC1" w:rsidP="00AE57D1">
    <w:pPr>
      <w:pStyle w:val="Header"/>
      <w:spacing w:after="120"/>
      <w:rPr>
        <w:b/>
        <w:sz w:val="32"/>
        <w:szCs w:val="32"/>
      </w:rPr>
    </w:pPr>
    <w:r>
      <w:rPr>
        <w:b/>
        <w:sz w:val="32"/>
        <w:szCs w:val="32"/>
      </w:rPr>
      <w:t>E5 Nutrient management plan - Bananas</w:t>
    </w:r>
  </w:p>
  <w:p w14:paraId="01F896AF" w14:textId="77777777" w:rsidR="00AE57D1" w:rsidRDefault="00AE5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B2F72"/>
    <w:multiLevelType w:val="multilevel"/>
    <w:tmpl w:val="D3EA59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9115EFF"/>
    <w:multiLevelType w:val="hybridMultilevel"/>
    <w:tmpl w:val="1B0E4DCA"/>
    <w:lvl w:ilvl="0" w:tplc="421457AE">
      <w:start w:val="1"/>
      <w:numFmt w:val="lowerLetter"/>
      <w:lvlText w:val="(%1)"/>
      <w:lvlJc w:val="left"/>
      <w:pPr>
        <w:ind w:left="852" w:hanging="420"/>
      </w:pPr>
      <w:rPr>
        <w:rFonts w:hint="default"/>
      </w:rPr>
    </w:lvl>
    <w:lvl w:ilvl="1" w:tplc="0C090019" w:tentative="1">
      <w:start w:val="1"/>
      <w:numFmt w:val="lowerLetter"/>
      <w:lvlText w:val="%2."/>
      <w:lvlJc w:val="left"/>
      <w:pPr>
        <w:ind w:left="1512" w:hanging="360"/>
      </w:pPr>
    </w:lvl>
    <w:lvl w:ilvl="2" w:tplc="0C09001B" w:tentative="1">
      <w:start w:val="1"/>
      <w:numFmt w:val="lowerRoman"/>
      <w:lvlText w:val="%3."/>
      <w:lvlJc w:val="right"/>
      <w:pPr>
        <w:ind w:left="2232" w:hanging="180"/>
      </w:pPr>
    </w:lvl>
    <w:lvl w:ilvl="3" w:tplc="0C09000F" w:tentative="1">
      <w:start w:val="1"/>
      <w:numFmt w:val="decimal"/>
      <w:lvlText w:val="%4."/>
      <w:lvlJc w:val="left"/>
      <w:pPr>
        <w:ind w:left="2952" w:hanging="360"/>
      </w:pPr>
    </w:lvl>
    <w:lvl w:ilvl="4" w:tplc="0C090019" w:tentative="1">
      <w:start w:val="1"/>
      <w:numFmt w:val="lowerLetter"/>
      <w:lvlText w:val="%5."/>
      <w:lvlJc w:val="left"/>
      <w:pPr>
        <w:ind w:left="3672" w:hanging="360"/>
      </w:pPr>
    </w:lvl>
    <w:lvl w:ilvl="5" w:tplc="0C09001B" w:tentative="1">
      <w:start w:val="1"/>
      <w:numFmt w:val="lowerRoman"/>
      <w:lvlText w:val="%6."/>
      <w:lvlJc w:val="right"/>
      <w:pPr>
        <w:ind w:left="4392" w:hanging="180"/>
      </w:pPr>
    </w:lvl>
    <w:lvl w:ilvl="6" w:tplc="0C09000F" w:tentative="1">
      <w:start w:val="1"/>
      <w:numFmt w:val="decimal"/>
      <w:lvlText w:val="%7."/>
      <w:lvlJc w:val="left"/>
      <w:pPr>
        <w:ind w:left="5112" w:hanging="360"/>
      </w:pPr>
    </w:lvl>
    <w:lvl w:ilvl="7" w:tplc="0C090019" w:tentative="1">
      <w:start w:val="1"/>
      <w:numFmt w:val="lowerLetter"/>
      <w:lvlText w:val="%8."/>
      <w:lvlJc w:val="left"/>
      <w:pPr>
        <w:ind w:left="5832" w:hanging="360"/>
      </w:pPr>
    </w:lvl>
    <w:lvl w:ilvl="8" w:tplc="0C09001B" w:tentative="1">
      <w:start w:val="1"/>
      <w:numFmt w:val="lowerRoman"/>
      <w:lvlText w:val="%9."/>
      <w:lvlJc w:val="right"/>
      <w:pPr>
        <w:ind w:left="6552" w:hanging="180"/>
      </w:pPr>
    </w:lvl>
  </w:abstractNum>
  <w:abstractNum w:abstractNumId="2" w15:restartNumberingAfterBreak="0">
    <w:nsid w:val="1C8C4B24"/>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F22084B"/>
    <w:multiLevelType w:val="hybridMultilevel"/>
    <w:tmpl w:val="C9148AD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414C10"/>
    <w:multiLevelType w:val="multilevel"/>
    <w:tmpl w:val="70BC77C0"/>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88356DA"/>
    <w:multiLevelType w:val="multilevel"/>
    <w:tmpl w:val="DDBADA18"/>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bullet"/>
      <w:lvlText w:val=""/>
      <w:lvlJc w:val="left"/>
      <w:pPr>
        <w:ind w:left="720" w:hanging="720"/>
      </w:pPr>
      <w:rPr>
        <w:rFonts w:ascii="Symbol" w:hAnsi="Symbol" w:hint="default"/>
      </w:r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CB0723C"/>
    <w:multiLevelType w:val="hybridMultilevel"/>
    <w:tmpl w:val="FA32FA00"/>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24548E"/>
    <w:multiLevelType w:val="multilevel"/>
    <w:tmpl w:val="1DD0F9BC"/>
    <w:lvl w:ilvl="0">
      <w:start w:val="1"/>
      <w:numFmt w:val="bullet"/>
      <w:lvlText w:val=""/>
      <w:lvlJc w:val="left"/>
      <w:pPr>
        <w:ind w:left="432" w:hanging="432"/>
      </w:pPr>
      <w:rPr>
        <w:rFonts w:ascii="Wingdings" w:hAnsi="Wingdings" w:hint="default"/>
      </w:rPr>
    </w:lvl>
    <w:lvl w:ilvl="1">
      <w:start w:val="1"/>
      <w:numFmt w:val="bullet"/>
      <w:lvlText w:val=""/>
      <w:lvlJc w:val="left"/>
      <w:pPr>
        <w:ind w:left="576" w:hanging="576"/>
      </w:pPr>
      <w:rPr>
        <w:rFonts w:ascii="Symbol" w:hAnsi="Symbol" w:hint="default"/>
      </w:rPr>
    </w:lvl>
    <w:lvl w:ilvl="2">
      <w:start w:val="1"/>
      <w:numFmt w:val="bullet"/>
      <w:lvlText w:val=""/>
      <w:lvlJc w:val="left"/>
      <w:pPr>
        <w:ind w:left="720" w:hanging="720"/>
      </w:pPr>
      <w:rPr>
        <w:rFonts w:ascii="Symbol" w:hAnsi="Symbol" w:hint="default"/>
      </w:r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5D6E1402"/>
    <w:multiLevelType w:val="multilevel"/>
    <w:tmpl w:val="DDBADA18"/>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bullet"/>
      <w:lvlText w:val=""/>
      <w:lvlJc w:val="left"/>
      <w:pPr>
        <w:ind w:left="720" w:hanging="720"/>
      </w:pPr>
      <w:rPr>
        <w:rFonts w:ascii="Symbol" w:hAnsi="Symbol" w:hint="default"/>
      </w:r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606C4A92"/>
    <w:multiLevelType w:val="hybridMultilevel"/>
    <w:tmpl w:val="1ECE07D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1D24B31"/>
    <w:multiLevelType w:val="hybridMultilevel"/>
    <w:tmpl w:val="BAE45188"/>
    <w:lvl w:ilvl="0" w:tplc="0C09000B">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7484334E"/>
    <w:multiLevelType w:val="hybridMultilevel"/>
    <w:tmpl w:val="0FAA6B68"/>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7E961B53"/>
    <w:multiLevelType w:val="multilevel"/>
    <w:tmpl w:val="0E1A4816"/>
    <w:lvl w:ilvl="0">
      <w:start w:val="1"/>
      <w:numFmt w:val="lowerRoman"/>
      <w:lvlText w:val="%1."/>
      <w:lvlJc w:val="righ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0"/>
  </w:num>
  <w:num w:numId="3">
    <w:abstractNumId w:val="12"/>
  </w:num>
  <w:num w:numId="4">
    <w:abstractNumId w:val="4"/>
  </w:num>
  <w:num w:numId="5">
    <w:abstractNumId w:val="8"/>
  </w:num>
  <w:num w:numId="6">
    <w:abstractNumId w:val="5"/>
  </w:num>
  <w:num w:numId="7">
    <w:abstractNumId w:val="1"/>
  </w:num>
  <w:num w:numId="8">
    <w:abstractNumId w:val="10"/>
  </w:num>
  <w:num w:numId="9">
    <w:abstractNumId w:val="11"/>
  </w:num>
  <w:num w:numId="10">
    <w:abstractNumId w:val="3"/>
  </w:num>
  <w:num w:numId="11">
    <w:abstractNumId w:val="6"/>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D19"/>
    <w:rsid w:val="00021D19"/>
    <w:rsid w:val="0003018F"/>
    <w:rsid w:val="000775DD"/>
    <w:rsid w:val="00163095"/>
    <w:rsid w:val="001B6D26"/>
    <w:rsid w:val="001F3AE5"/>
    <w:rsid w:val="001F6550"/>
    <w:rsid w:val="00212B49"/>
    <w:rsid w:val="002411F9"/>
    <w:rsid w:val="002C1D14"/>
    <w:rsid w:val="003A2E43"/>
    <w:rsid w:val="003A44D5"/>
    <w:rsid w:val="003E7808"/>
    <w:rsid w:val="003F0197"/>
    <w:rsid w:val="004E21DA"/>
    <w:rsid w:val="00553EA1"/>
    <w:rsid w:val="0055421C"/>
    <w:rsid w:val="005E4FFB"/>
    <w:rsid w:val="0065759B"/>
    <w:rsid w:val="00676D23"/>
    <w:rsid w:val="00692338"/>
    <w:rsid w:val="006E7AC9"/>
    <w:rsid w:val="00780DC1"/>
    <w:rsid w:val="007E1855"/>
    <w:rsid w:val="008760C9"/>
    <w:rsid w:val="008B1DE6"/>
    <w:rsid w:val="008F45F8"/>
    <w:rsid w:val="0096599A"/>
    <w:rsid w:val="009736B8"/>
    <w:rsid w:val="009942DE"/>
    <w:rsid w:val="00AE57D1"/>
    <w:rsid w:val="00B36BF0"/>
    <w:rsid w:val="00B41EA4"/>
    <w:rsid w:val="00CC4CE2"/>
    <w:rsid w:val="00D02023"/>
    <w:rsid w:val="00D46ED1"/>
    <w:rsid w:val="00D7161C"/>
    <w:rsid w:val="00E5326E"/>
    <w:rsid w:val="00E81DDA"/>
    <w:rsid w:val="00F07B88"/>
    <w:rsid w:val="00F36B9D"/>
    <w:rsid w:val="00F774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FDA34"/>
  <w15:chartTrackingRefBased/>
  <w15:docId w15:val="{67FB455A-63EE-477D-886E-BECD345BD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421C"/>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5421C"/>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A2E43"/>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A2E43"/>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A2E43"/>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A2E43"/>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A2E43"/>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A2E4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A2E4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21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5421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A2E43"/>
    <w:rPr>
      <w:color w:val="0563C1" w:themeColor="hyperlink"/>
      <w:u w:val="single"/>
    </w:rPr>
  </w:style>
  <w:style w:type="character" w:customStyle="1" w:styleId="UnresolvedMention">
    <w:name w:val="Unresolved Mention"/>
    <w:basedOn w:val="DefaultParagraphFont"/>
    <w:uiPriority w:val="99"/>
    <w:semiHidden/>
    <w:unhideWhenUsed/>
    <w:rsid w:val="003A2E43"/>
    <w:rPr>
      <w:color w:val="605E5C"/>
      <w:shd w:val="clear" w:color="auto" w:fill="E1DFDD"/>
    </w:rPr>
  </w:style>
  <w:style w:type="character" w:customStyle="1" w:styleId="Heading3Char">
    <w:name w:val="Heading 3 Char"/>
    <w:basedOn w:val="DefaultParagraphFont"/>
    <w:link w:val="Heading3"/>
    <w:uiPriority w:val="9"/>
    <w:semiHidden/>
    <w:rsid w:val="003A2E4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A2E4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A2E4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A2E4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A2E4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A2E4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A2E43"/>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5E4FFB"/>
    <w:pPr>
      <w:ind w:left="720"/>
      <w:contextualSpacing/>
    </w:pPr>
  </w:style>
  <w:style w:type="paragraph" w:styleId="Header">
    <w:name w:val="header"/>
    <w:basedOn w:val="Normal"/>
    <w:link w:val="HeaderChar"/>
    <w:uiPriority w:val="99"/>
    <w:unhideWhenUsed/>
    <w:rsid w:val="00AE57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7D1"/>
  </w:style>
  <w:style w:type="paragraph" w:styleId="Footer">
    <w:name w:val="footer"/>
    <w:basedOn w:val="Normal"/>
    <w:link w:val="FooterChar"/>
    <w:uiPriority w:val="99"/>
    <w:unhideWhenUsed/>
    <w:rsid w:val="00AE57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7D1"/>
  </w:style>
  <w:style w:type="table" w:styleId="TableGrid">
    <w:name w:val="Table Grid"/>
    <w:basedOn w:val="TableNormal"/>
    <w:uiPriority w:val="39"/>
    <w:rsid w:val="00AE57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3544">
      <w:bodyDiv w:val="1"/>
      <w:marLeft w:val="0"/>
      <w:marRight w:val="0"/>
      <w:marTop w:val="0"/>
      <w:marBottom w:val="0"/>
      <w:divBdr>
        <w:top w:val="none" w:sz="0" w:space="0" w:color="auto"/>
        <w:left w:val="none" w:sz="0" w:space="0" w:color="auto"/>
        <w:bottom w:val="none" w:sz="0" w:space="0" w:color="auto"/>
        <w:right w:val="none" w:sz="0" w:space="0" w:color="auto"/>
      </w:divBdr>
    </w:div>
    <w:div w:id="618413314">
      <w:bodyDiv w:val="1"/>
      <w:marLeft w:val="0"/>
      <w:marRight w:val="0"/>
      <w:marTop w:val="0"/>
      <w:marBottom w:val="0"/>
      <w:divBdr>
        <w:top w:val="none" w:sz="0" w:space="0" w:color="auto"/>
        <w:left w:val="none" w:sz="0" w:space="0" w:color="auto"/>
        <w:bottom w:val="none" w:sz="0" w:space="0" w:color="auto"/>
        <w:right w:val="none" w:sz="0" w:space="0" w:color="auto"/>
      </w:divBdr>
    </w:div>
    <w:div w:id="135314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qld.gov.au/environment/agriculture/sustainable-farming/reef/reef-regulations/producers/banana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abgc.org.au/best-management-practice/" TargetMode="External"/><Relationship Id="rId17" Type="http://schemas.openxmlformats.org/officeDocument/2006/relationships/hyperlink" Target="http://www.abgc.org.au"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melia@abgc.org.au" TargetMode="External"/><Relationship Id="rId5" Type="http://schemas.openxmlformats.org/officeDocument/2006/relationships/styles" Target="styles.xml"/><Relationship Id="rId15" Type="http://schemas.openxmlformats.org/officeDocument/2006/relationships/hyperlink" Target="http://www.freshcare.com.au/training"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mp@abgc.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4129A1C313754BA0E66F148DB7AAD3" ma:contentTypeVersion="10" ma:contentTypeDescription="Create a new document." ma:contentTypeScope="" ma:versionID="690465bcbf4e38607cf983ef7ce90e76">
  <xsd:schema xmlns:xsd="http://www.w3.org/2001/XMLSchema" xmlns:xs="http://www.w3.org/2001/XMLSchema" xmlns:p="http://schemas.microsoft.com/office/2006/metadata/properties" xmlns:ns2="efaa8045-6706-4924-b8a8-30b70e84a786" targetNamespace="http://schemas.microsoft.com/office/2006/metadata/properties" ma:root="true" ma:fieldsID="972852cb124ab7f7ca50d6240c8e34c7" ns2:_="">
    <xsd:import namespace="efaa8045-6706-4924-b8a8-30b70e84a7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a8045-6706-4924-b8a8-30b70e84a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203A7A-3F50-43FB-B765-F70879108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aa8045-6706-4924-b8a8-30b70e84a7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5D8F88-762E-4578-AD8F-66D82007D09B}">
  <ds:schemaRefs>
    <ds:schemaRef ds:uri="http://schemas.microsoft.com/sharepoint/v3/contenttype/forms"/>
  </ds:schemaRefs>
</ds:datastoreItem>
</file>

<file path=customXml/itemProps3.xml><?xml version="1.0" encoding="utf-8"?>
<ds:datastoreItem xmlns:ds="http://schemas.openxmlformats.org/officeDocument/2006/customXml" ds:itemID="{F1262100-4DEB-47F3-909B-CC9D91AEF1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Foster</dc:creator>
  <cp:keywords/>
  <dc:description/>
  <cp:lastModifiedBy>Angela Steain</cp:lastModifiedBy>
  <cp:revision>14</cp:revision>
  <cp:lastPrinted>2020-12-04T03:00:00Z</cp:lastPrinted>
  <dcterms:created xsi:type="dcterms:W3CDTF">2020-10-07T01:29:00Z</dcterms:created>
  <dcterms:modified xsi:type="dcterms:W3CDTF">2020-12-04T03:02:00Z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0x010100234129A1C313754BA0E66F148DB7AAD3</vt:lpwstr>
  </property>
</Properties>
</file>